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5" w:name="X87dde07086d651f20812bb22ed1237716ac8508"/>
    <w:p>
      <w:pPr>
        <w:pStyle w:val="Heading1"/>
      </w:pPr>
      <w:r>
        <w:t xml:space="preserve">Tournament Reimbursement and Payment Policy – Sin City Fire Department Sports</w:t>
      </w:r>
    </w:p>
    <w:bookmarkStart w:id="9" w:name="purpose-and-scope"/>
    <w:p>
      <w:pPr>
        <w:pStyle w:val="Heading2"/>
      </w:pPr>
      <w:r>
        <w:t xml:space="preserve">1. Purpose and Scope</w:t>
      </w:r>
    </w:p>
    <w:p>
      <w:pPr>
        <w:pStyle w:val="FirstParagraph"/>
      </w:pPr>
      <w:r>
        <w:t xml:space="preserve">This policy establishes fair, transparent, and fiscally responsible rules for tournament participation funding, payment methods, reimbursement, participant contributions, and prize money handling for Sin City Fire Department Sports.</w:t>
      </w:r>
    </w:p>
    <w:p>
      <w:pPr>
        <w:pStyle w:val="BodyText"/>
      </w:pPr>
      <w:r>
        <w:t xml:space="preserve">Key principle: Tournament and club sponsorship is not guaranteed. All funding is subject to board discretion and budget availability.</w:t>
      </w:r>
    </w:p>
    <w:p>
      <w:pPr>
        <w:pStyle w:val="BodyText"/>
      </w:pPr>
      <w:r>
        <w:t xml:space="preserve">This policy applies to any tournament, competition, or event where the organization provides any financial support, including registration, travel, lodging, equipment, or related costs.</w:t>
      </w:r>
    </w:p>
    <w:bookmarkEnd w:id="9"/>
    <w:bookmarkStart w:id="13" w:name="eligibility-and-participation-standards"/>
    <w:p>
      <w:pPr>
        <w:pStyle w:val="Heading2"/>
      </w:pPr>
      <w:r>
        <w:t xml:space="preserve">2. Eligibility and Participation Standards</w:t>
      </w:r>
    </w:p>
    <w:bookmarkStart w:id="10" w:name="membership-eligibility"/>
    <w:p>
      <w:pPr>
        <w:pStyle w:val="Heading3"/>
      </w:pPr>
      <w:r>
        <w:t xml:space="preserve">2.1 Membership eligibility</w:t>
      </w:r>
    </w:p>
    <w:p>
      <w:pPr>
        <w:pStyle w:val="FirstParagraph"/>
      </w:pPr>
      <w:r>
        <w:t xml:space="preserve">Funding may be considered for primary members and secondary members as defined in the bylaws, subject to board approval and budget.</w:t>
      </w:r>
    </w:p>
    <w:bookmarkEnd w:id="10"/>
    <w:bookmarkStart w:id="11" w:name="team-composition"/>
    <w:p>
      <w:pPr>
        <w:pStyle w:val="Heading3"/>
      </w:pPr>
      <w:r>
        <w:t xml:space="preserve">2.2 Team composition</w:t>
      </w:r>
    </w:p>
    <w:p>
      <w:pPr>
        <w:pStyle w:val="FirstParagraph"/>
      </w:pPr>
      <w:r>
        <w:t xml:space="preserve">Teams should maintain at least 75 percent firefighter composition when possible. Exceptions require board approval.</w:t>
      </w:r>
    </w:p>
    <w:bookmarkEnd w:id="11"/>
    <w:bookmarkStart w:id="12" w:name="annual-tournament-limits"/>
    <w:p>
      <w:pPr>
        <w:pStyle w:val="Heading3"/>
      </w:pPr>
      <w:r>
        <w:t xml:space="preserve">2.3 Annual tournament limits</w:t>
      </w:r>
    </w:p>
    <w:p>
      <w:pPr>
        <w:pStyle w:val="FirstParagraph"/>
      </w:pPr>
      <w:r>
        <w:t xml:space="preserve">Per sport, per calendar year:</w:t>
      </w:r>
    </w:p>
    <w:p>
      <w:pPr>
        <w:pStyle w:val="Compact"/>
        <w:numPr>
          <w:ilvl w:val="0"/>
          <w:numId w:val="1001"/>
        </w:numPr>
      </w:pPr>
      <w:r>
        <w:t xml:space="preserve">Large team sports: maximum 2 tournaments per year</w:t>
      </w:r>
    </w:p>
    <w:p>
      <w:pPr>
        <w:pStyle w:val="Compact"/>
        <w:numPr>
          <w:ilvl w:val="0"/>
          <w:numId w:val="1001"/>
        </w:numPr>
      </w:pPr>
      <w:r>
        <w:t xml:space="preserve">Small team sports: maximum 6 tournaments per year</w:t>
      </w:r>
    </w:p>
    <w:p>
      <w:pPr>
        <w:pStyle w:val="Compact"/>
        <w:numPr>
          <w:ilvl w:val="0"/>
          <w:numId w:val="1001"/>
        </w:numPr>
      </w:pPr>
      <w:r>
        <w:t xml:space="preserve">Single player events: board approval required for participation and funding</w:t>
      </w:r>
    </w:p>
    <w:p>
      <w:pPr>
        <w:pStyle w:val="FirstParagraph"/>
      </w:pPr>
      <w:r>
        <w:t xml:space="preserve">The board may set additional limits as needed for resource management.</w:t>
      </w:r>
    </w:p>
    <w:bookmarkEnd w:id="12"/>
    <w:bookmarkEnd w:id="13"/>
    <w:bookmarkStart w:id="18" w:name="budget-controls-and-funding-limits"/>
    <w:p>
      <w:pPr>
        <w:pStyle w:val="Heading2"/>
      </w:pPr>
      <w:r>
        <w:t xml:space="preserve">3. Budget Controls and Funding Limits</w:t>
      </w:r>
    </w:p>
    <w:bookmarkStart w:id="14" w:name="budget-cap"/>
    <w:p>
      <w:pPr>
        <w:pStyle w:val="Heading3"/>
      </w:pPr>
      <w:r>
        <w:t xml:space="preserve">3.1 Budget cap</w:t>
      </w:r>
    </w:p>
    <w:p>
      <w:pPr>
        <w:pStyle w:val="FirstParagraph"/>
      </w:pPr>
      <w:r>
        <w:t xml:space="preserve">Total tournament and club sponsorships shall not exceed 25 percent of the annual budget.</w:t>
      </w:r>
    </w:p>
    <w:bookmarkEnd w:id="14"/>
    <w:bookmarkStart w:id="15" w:name="category-allocation"/>
    <w:p>
      <w:pPr>
        <w:pStyle w:val="Heading3"/>
      </w:pPr>
      <w:r>
        <w:t xml:space="preserve">3.2 Category allocation</w:t>
      </w:r>
    </w:p>
    <w:p>
      <w:pPr>
        <w:pStyle w:val="Compact"/>
        <w:numPr>
          <w:ilvl w:val="0"/>
          <w:numId w:val="1002"/>
        </w:numPr>
      </w:pPr>
      <w:r>
        <w:t xml:space="preserve">Up to 70 percent of the tournament budget may be allocated to large team sports</w:t>
      </w:r>
    </w:p>
    <w:p>
      <w:pPr>
        <w:pStyle w:val="Compact"/>
        <w:numPr>
          <w:ilvl w:val="0"/>
          <w:numId w:val="1002"/>
        </w:numPr>
      </w:pPr>
      <w:r>
        <w:t xml:space="preserve">Up to 30 percent of the tournament budget may be allocated to small team sports</w:t>
      </w:r>
    </w:p>
    <w:bookmarkEnd w:id="15"/>
    <w:bookmarkStart w:id="16" w:name="emergency-reserve"/>
    <w:p>
      <w:pPr>
        <w:pStyle w:val="Heading3"/>
      </w:pPr>
      <w:r>
        <w:t xml:space="preserve">3.3 Emergency reserve</w:t>
      </w:r>
    </w:p>
    <w:p>
      <w:pPr>
        <w:pStyle w:val="FirstParagraph"/>
      </w:pPr>
      <w:r>
        <w:t xml:space="preserve">At least 10 percent of the total annual budget is reserved for emergencies.</w:t>
      </w:r>
    </w:p>
    <w:bookmarkEnd w:id="16"/>
    <w:bookmarkStart w:id="17" w:name="per-event-spending-limits"/>
    <w:p>
      <w:pPr>
        <w:pStyle w:val="Heading3"/>
      </w:pPr>
      <w:r>
        <w:t xml:space="preserve">3.4 Per event spending limits</w:t>
      </w:r>
    </w:p>
    <w:p>
      <w:pPr>
        <w:pStyle w:val="FirstParagraph"/>
      </w:pPr>
      <w:r>
        <w:t xml:space="preserve">Per event spending limits are set by the board and communicated to participants in advance.</w:t>
      </w:r>
    </w:p>
    <w:bookmarkEnd w:id="17"/>
    <w:bookmarkEnd w:id="18"/>
    <w:bookmarkStart w:id="23" w:name="request-and-approval-process"/>
    <w:p>
      <w:pPr>
        <w:pStyle w:val="Heading2"/>
      </w:pPr>
      <w:r>
        <w:t xml:space="preserve">4. Request and Approval Process</w:t>
      </w:r>
    </w:p>
    <w:bookmarkStart w:id="19" w:name="submission-deadline"/>
    <w:p>
      <w:pPr>
        <w:pStyle w:val="Heading3"/>
      </w:pPr>
      <w:r>
        <w:t xml:space="preserve">4.1 Submission deadline</w:t>
      </w:r>
    </w:p>
    <w:p>
      <w:pPr>
        <w:pStyle w:val="FirstParagraph"/>
      </w:pPr>
      <w:r>
        <w:t xml:space="preserve">A written request must be submitted at least 90 days prior to the event.</w:t>
      </w:r>
    </w:p>
    <w:bookmarkEnd w:id="19"/>
    <w:bookmarkStart w:id="20" w:name="required-request-information"/>
    <w:p>
      <w:pPr>
        <w:pStyle w:val="Heading3"/>
      </w:pPr>
      <w:r>
        <w:t xml:space="preserve">4.2 Required request information</w:t>
      </w:r>
    </w:p>
    <w:p>
      <w:pPr>
        <w:pStyle w:val="FirstParagraph"/>
      </w:pPr>
      <w:r>
        <w:t xml:space="preserve">Requests must include:</w:t>
      </w:r>
    </w:p>
    <w:p>
      <w:pPr>
        <w:pStyle w:val="Compact"/>
        <w:numPr>
          <w:ilvl w:val="0"/>
          <w:numId w:val="1003"/>
        </w:numPr>
      </w:pPr>
      <w:r>
        <w:t xml:space="preserve">Event name, dates, and location</w:t>
      </w:r>
    </w:p>
    <w:p>
      <w:pPr>
        <w:pStyle w:val="Compact"/>
        <w:numPr>
          <w:ilvl w:val="0"/>
          <w:numId w:val="1003"/>
        </w:numPr>
      </w:pPr>
      <w:r>
        <w:t xml:space="preserve">Sport category and team roster</w:t>
      </w:r>
    </w:p>
    <w:p>
      <w:pPr>
        <w:pStyle w:val="Compact"/>
        <w:numPr>
          <w:ilvl w:val="0"/>
          <w:numId w:val="1003"/>
        </w:numPr>
      </w:pPr>
      <w:r>
        <w:t xml:space="preserve">Participant counts by group as requested by the board</w:t>
      </w:r>
    </w:p>
    <w:p>
      <w:pPr>
        <w:pStyle w:val="Compact"/>
        <w:numPr>
          <w:ilvl w:val="0"/>
          <w:numId w:val="1003"/>
        </w:numPr>
      </w:pPr>
      <w:r>
        <w:t xml:space="preserve">Budget and itemized cost estimate</w:t>
      </w:r>
    </w:p>
    <w:p>
      <w:pPr>
        <w:pStyle w:val="Compact"/>
        <w:numPr>
          <w:ilvl w:val="0"/>
          <w:numId w:val="1003"/>
        </w:numPr>
      </w:pPr>
      <w:r>
        <w:t xml:space="preserve">Funding amount requested</w:t>
      </w:r>
    </w:p>
    <w:p>
      <w:pPr>
        <w:pStyle w:val="Compact"/>
        <w:numPr>
          <w:ilvl w:val="0"/>
          <w:numId w:val="1003"/>
        </w:numPr>
      </w:pPr>
      <w:r>
        <w:t xml:space="preserve">Participant contribution plan and due dates</w:t>
      </w:r>
    </w:p>
    <w:p>
      <w:pPr>
        <w:pStyle w:val="Compact"/>
        <w:numPr>
          <w:ilvl w:val="0"/>
          <w:numId w:val="1003"/>
        </w:numPr>
      </w:pPr>
      <w:r>
        <w:t xml:space="preserve">Explanation of benefit to the organization mission</w:t>
      </w:r>
    </w:p>
    <w:bookmarkEnd w:id="20"/>
    <w:bookmarkStart w:id="21" w:name="board-decision"/>
    <w:p>
      <w:pPr>
        <w:pStyle w:val="Heading3"/>
      </w:pPr>
      <w:r>
        <w:t xml:space="preserve">4.3 Board decision</w:t>
      </w:r>
    </w:p>
    <w:p>
      <w:pPr>
        <w:pStyle w:val="FirstParagraph"/>
      </w:pPr>
      <w:r>
        <w:t xml:space="preserve">The board may approve, approve with modifications, waitlist, or deny a request.</w:t>
      </w:r>
    </w:p>
    <w:bookmarkEnd w:id="21"/>
    <w:bookmarkStart w:id="22" w:name="exceptions"/>
    <w:p>
      <w:pPr>
        <w:pStyle w:val="Heading3"/>
      </w:pPr>
      <w:r>
        <w:t xml:space="preserve">4.4 Exceptions</w:t>
      </w:r>
    </w:p>
    <w:p>
      <w:pPr>
        <w:pStyle w:val="FirstParagraph"/>
      </w:pPr>
      <w:r>
        <w:t xml:space="preserve">Exceptions to participation limits or funding limits require unanimous board approval.</w:t>
      </w:r>
    </w:p>
    <w:bookmarkEnd w:id="22"/>
    <w:bookmarkEnd w:id="23"/>
    <w:bookmarkStart w:id="26" w:name="payment-methods"/>
    <w:p>
      <w:pPr>
        <w:pStyle w:val="Heading2"/>
      </w:pPr>
      <w:r>
        <w:t xml:space="preserve">5. Payment Methods</w:t>
      </w:r>
    </w:p>
    <w:bookmarkStart w:id="24" w:name="direct-payment-to-vendors-preferred"/>
    <w:p>
      <w:pPr>
        <w:pStyle w:val="Heading3"/>
      </w:pPr>
      <w:r>
        <w:t xml:space="preserve">5.1 Direct payment to vendors preferred</w:t>
      </w:r>
    </w:p>
    <w:p>
      <w:pPr>
        <w:pStyle w:val="FirstParagraph"/>
      </w:pPr>
      <w:r>
        <w:t xml:space="preserve">The organization prefers to pay vendors directly when possible. Cash payments are not allowed.</w:t>
      </w:r>
    </w:p>
    <w:p>
      <w:pPr>
        <w:pStyle w:val="BodyText"/>
      </w:pPr>
      <w:r>
        <w:t xml:space="preserve">Direct payment may include registration fees, lodging, airfare, ground transportation, and approved equipment.</w:t>
      </w:r>
    </w:p>
    <w:bookmarkEnd w:id="24"/>
    <w:bookmarkStart w:id="25" w:name="reimbursements-are-exception-only"/>
    <w:p>
      <w:pPr>
        <w:pStyle w:val="Heading3"/>
      </w:pPr>
      <w:r>
        <w:t xml:space="preserve">5.2 Reimbursements are exception only</w:t>
      </w:r>
    </w:p>
    <w:p>
      <w:pPr>
        <w:pStyle w:val="FirstParagraph"/>
      </w:pPr>
      <w:r>
        <w:t xml:space="preserve">Reimbursement is allowed only when direct payment is not possible and written pre approval is provided.</w:t>
      </w:r>
    </w:p>
    <w:p>
      <w:pPr>
        <w:pStyle w:val="BodyText"/>
      </w:pPr>
      <w:r>
        <w:t xml:space="preserve">Reimbursements require dual approval.</w:t>
      </w:r>
    </w:p>
    <w:bookmarkEnd w:id="25"/>
    <w:bookmarkEnd w:id="26"/>
    <w:bookmarkStart w:id="29" w:name="participant-contribution-requirements"/>
    <w:p>
      <w:pPr>
        <w:pStyle w:val="Heading2"/>
      </w:pPr>
      <w:r>
        <w:t xml:space="preserve">6. Participant Contribution Requirements</w:t>
      </w:r>
    </w:p>
    <w:bookmarkStart w:id="27" w:name="non-local-events"/>
    <w:p>
      <w:pPr>
        <w:pStyle w:val="Heading3"/>
      </w:pPr>
      <w:r>
        <w:t xml:space="preserve">6.1 Non local events</w:t>
      </w:r>
    </w:p>
    <w:p>
      <w:pPr>
        <w:pStyle w:val="FirstParagraph"/>
      </w:pPr>
      <w:r>
        <w:t xml:space="preserve">For non local events, a minimum 20 percent participant contribution is required unless waived by the board.</w:t>
      </w:r>
    </w:p>
    <w:bookmarkEnd w:id="27"/>
    <w:bookmarkStart w:id="28" w:name="collection-timing"/>
    <w:p>
      <w:pPr>
        <w:pStyle w:val="Heading3"/>
      </w:pPr>
      <w:r>
        <w:t xml:space="preserve">6.2 Collection timing</w:t>
      </w:r>
    </w:p>
    <w:p>
      <w:pPr>
        <w:pStyle w:val="FirstParagraph"/>
      </w:pPr>
      <w:r>
        <w:t xml:space="preserve">Participant contributions must be paid by the deadline set by the board for each event. Failure to pay may result in forfeiture of the tournament spot and loss of funding.</w:t>
      </w:r>
    </w:p>
    <w:bookmarkEnd w:id="28"/>
    <w:bookmarkEnd w:id="29"/>
    <w:bookmarkStart w:id="32" w:name="covered-and-non-covered-expenses"/>
    <w:p>
      <w:pPr>
        <w:pStyle w:val="Heading2"/>
      </w:pPr>
      <w:r>
        <w:t xml:space="preserve">7. Covered and Non Covered Expenses</w:t>
      </w:r>
    </w:p>
    <w:bookmarkStart w:id="30" w:name="covered-expenses"/>
    <w:p>
      <w:pPr>
        <w:pStyle w:val="Heading3"/>
      </w:pPr>
      <w:r>
        <w:t xml:space="preserve">7.1 Covered expenses</w:t>
      </w:r>
    </w:p>
    <w:p>
      <w:pPr>
        <w:pStyle w:val="FirstParagraph"/>
      </w:pPr>
      <w:r>
        <w:t xml:space="preserve">Covered expenses may include, subject to approval:</w:t>
      </w:r>
    </w:p>
    <w:p>
      <w:pPr>
        <w:pStyle w:val="Compact"/>
        <w:numPr>
          <w:ilvl w:val="0"/>
          <w:numId w:val="1004"/>
        </w:numPr>
      </w:pPr>
      <w:r>
        <w:t xml:space="preserve">Registration fees</w:t>
      </w:r>
    </w:p>
    <w:p>
      <w:pPr>
        <w:pStyle w:val="Compact"/>
        <w:numPr>
          <w:ilvl w:val="0"/>
          <w:numId w:val="1004"/>
        </w:numPr>
      </w:pPr>
      <w:r>
        <w:t xml:space="preserve">Lodging at reasonable rates</w:t>
      </w:r>
    </w:p>
    <w:p>
      <w:pPr>
        <w:pStyle w:val="Compact"/>
        <w:numPr>
          <w:ilvl w:val="0"/>
          <w:numId w:val="1004"/>
        </w:numPr>
      </w:pPr>
      <w:r>
        <w:t xml:space="preserve">Airfare at economy rates</w:t>
      </w:r>
    </w:p>
    <w:p>
      <w:pPr>
        <w:pStyle w:val="Compact"/>
        <w:numPr>
          <w:ilvl w:val="0"/>
          <w:numId w:val="1004"/>
        </w:numPr>
      </w:pPr>
      <w:r>
        <w:t xml:space="preserve">Ground transportation</w:t>
      </w:r>
    </w:p>
    <w:p>
      <w:pPr>
        <w:pStyle w:val="Compact"/>
        <w:numPr>
          <w:ilvl w:val="0"/>
          <w:numId w:val="1004"/>
        </w:numPr>
      </w:pPr>
      <w:r>
        <w:t xml:space="preserve">Approved equipment required for participation</w:t>
      </w:r>
    </w:p>
    <w:bookmarkEnd w:id="30"/>
    <w:bookmarkStart w:id="31" w:name="non-covered-expenses"/>
    <w:p>
      <w:pPr>
        <w:pStyle w:val="Heading3"/>
      </w:pPr>
      <w:r>
        <w:t xml:space="preserve">7.2 Non covered expenses</w:t>
      </w:r>
    </w:p>
    <w:p>
      <w:pPr>
        <w:pStyle w:val="FirstParagraph"/>
      </w:pPr>
      <w:r>
        <w:t xml:space="preserve">The following are not reimbursable:</w:t>
      </w:r>
    </w:p>
    <w:p>
      <w:pPr>
        <w:pStyle w:val="Compact"/>
        <w:numPr>
          <w:ilvl w:val="0"/>
          <w:numId w:val="1005"/>
        </w:numPr>
      </w:pPr>
      <w:r>
        <w:t xml:space="preserve">Alcohol and entertainment</w:t>
      </w:r>
    </w:p>
    <w:p>
      <w:pPr>
        <w:pStyle w:val="Compact"/>
        <w:numPr>
          <w:ilvl w:val="0"/>
          <w:numId w:val="1005"/>
        </w:numPr>
      </w:pPr>
      <w:r>
        <w:t xml:space="preserve">Personal meals and snacks unless explicitly approved as part of a team plan</w:t>
      </w:r>
    </w:p>
    <w:p>
      <w:pPr>
        <w:pStyle w:val="Compact"/>
        <w:numPr>
          <w:ilvl w:val="0"/>
          <w:numId w:val="1005"/>
        </w:numPr>
      </w:pPr>
      <w:r>
        <w:t xml:space="preserve">Souvenirs and personal items</w:t>
      </w:r>
    </w:p>
    <w:p>
      <w:pPr>
        <w:pStyle w:val="Compact"/>
        <w:numPr>
          <w:ilvl w:val="0"/>
          <w:numId w:val="1005"/>
        </w:numPr>
      </w:pPr>
      <w:r>
        <w:t xml:space="preserve">Travel upgrades</w:t>
      </w:r>
    </w:p>
    <w:p>
      <w:pPr>
        <w:pStyle w:val="Compact"/>
        <w:numPr>
          <w:ilvl w:val="0"/>
          <w:numId w:val="1005"/>
        </w:numPr>
      </w:pPr>
      <w:r>
        <w:t xml:space="preserve">Expenses for non participants</w:t>
      </w:r>
    </w:p>
    <w:p>
      <w:pPr>
        <w:pStyle w:val="Compact"/>
        <w:numPr>
          <w:ilvl w:val="0"/>
          <w:numId w:val="1005"/>
        </w:numPr>
      </w:pPr>
      <w:r>
        <w:t xml:space="preserve">Late fees or penalties due to participant error</w:t>
      </w:r>
    </w:p>
    <w:bookmarkEnd w:id="31"/>
    <w:bookmarkEnd w:id="32"/>
    <w:bookmarkStart w:id="37" w:name="prize-money-policy"/>
    <w:p>
      <w:pPr>
        <w:pStyle w:val="Heading2"/>
      </w:pPr>
      <w:r>
        <w:t xml:space="preserve">8. Prize Money Policy</w:t>
      </w:r>
    </w:p>
    <w:bookmarkStart w:id="33" w:name="Xf34b47e4e818c21c4d25ef87b39ad341d6ae0a1"/>
    <w:p>
      <w:pPr>
        <w:pStyle w:val="Heading3"/>
      </w:pPr>
      <w:r>
        <w:t xml:space="preserve">8.1 Prize money is donated to the organization</w:t>
      </w:r>
    </w:p>
    <w:p>
      <w:pPr>
        <w:pStyle w:val="FirstParagraph"/>
      </w:pPr>
      <w:r>
        <w:t xml:space="preserve">If the organization sponsors a team or individual participant for an event and any cash prize is awarded, 100 percent of the cash prize must be donated to Sin City Fire Department Sports.</w:t>
      </w:r>
    </w:p>
    <w:bookmarkEnd w:id="33"/>
    <w:bookmarkStart w:id="34" w:name="X93456a06e9653d8cf535207a353fcf0293671a4"/>
    <w:p>
      <w:pPr>
        <w:pStyle w:val="Heading3"/>
      </w:pPr>
      <w:r>
        <w:t xml:space="preserve">8.2 No sponsorship if participants intend to keep prize money</w:t>
      </w:r>
    </w:p>
    <w:p>
      <w:pPr>
        <w:pStyle w:val="FirstParagraph"/>
      </w:pPr>
      <w:r>
        <w:t xml:space="preserve">If participants wish to retain any portion of potential prize money, no sponsorship or funding may be awarded for that event.</w:t>
      </w:r>
    </w:p>
    <w:bookmarkEnd w:id="34"/>
    <w:bookmarkStart w:id="35" w:name="reporting-and-payment-timeline"/>
    <w:p>
      <w:pPr>
        <w:pStyle w:val="Heading3"/>
      </w:pPr>
      <w:r>
        <w:t xml:space="preserve">8.3 Reporting and payment timeline</w:t>
      </w:r>
    </w:p>
    <w:p>
      <w:pPr>
        <w:pStyle w:val="Compact"/>
        <w:numPr>
          <w:ilvl w:val="0"/>
          <w:numId w:val="1006"/>
        </w:numPr>
      </w:pPr>
      <w:r>
        <w:t xml:space="preserve">Prize money must be reported to the Treasurer within 7 days of receipt</w:t>
      </w:r>
    </w:p>
    <w:p>
      <w:pPr>
        <w:pStyle w:val="Compact"/>
        <w:numPr>
          <w:ilvl w:val="0"/>
          <w:numId w:val="1006"/>
        </w:numPr>
      </w:pPr>
      <w:r>
        <w:t xml:space="preserve">Prize money must be delivered to the organization within 30 days of receipt</w:t>
      </w:r>
    </w:p>
    <w:bookmarkEnd w:id="35"/>
    <w:bookmarkStart w:id="36" w:name="non-cash-prizes"/>
    <w:p>
      <w:pPr>
        <w:pStyle w:val="Heading3"/>
      </w:pPr>
      <w:r>
        <w:t xml:space="preserve">8.4 Non cash prizes</w:t>
      </w:r>
    </w:p>
    <w:p>
      <w:pPr>
        <w:pStyle w:val="FirstParagraph"/>
      </w:pPr>
      <w:r>
        <w:t xml:space="preserve">Non cash prizes such as trophies, medals, and merchandise may be retained by participants.</w:t>
      </w:r>
    </w:p>
    <w:bookmarkEnd w:id="36"/>
    <w:bookmarkEnd w:id="37"/>
    <w:bookmarkStart w:id="42" w:name="reimbursement-procedures"/>
    <w:p>
      <w:pPr>
        <w:pStyle w:val="Heading2"/>
      </w:pPr>
      <w:r>
        <w:t xml:space="preserve">9. Reimbursement Procedures</w:t>
      </w:r>
    </w:p>
    <w:bookmarkStart w:id="38" w:name="pre-approval-requirement"/>
    <w:p>
      <w:pPr>
        <w:pStyle w:val="Heading3"/>
      </w:pPr>
      <w:r>
        <w:t xml:space="preserve">9.1 Pre approval requirement</w:t>
      </w:r>
    </w:p>
    <w:p>
      <w:pPr>
        <w:pStyle w:val="FirstParagraph"/>
      </w:pPr>
      <w:r>
        <w:t xml:space="preserve">All reimbursements require written pre approval from an authorized board member.</w:t>
      </w:r>
    </w:p>
    <w:bookmarkEnd w:id="38"/>
    <w:bookmarkStart w:id="39" w:name="submission-requirements"/>
    <w:p>
      <w:pPr>
        <w:pStyle w:val="Heading3"/>
      </w:pPr>
      <w:r>
        <w:t xml:space="preserve">9.2 Submission requirements</w:t>
      </w:r>
    </w:p>
    <w:p>
      <w:pPr>
        <w:pStyle w:val="FirstParagraph"/>
      </w:pPr>
      <w:r>
        <w:t xml:space="preserve">Submit one reimbursement request per expense with:</w:t>
      </w:r>
    </w:p>
    <w:p>
      <w:pPr>
        <w:pStyle w:val="Compact"/>
        <w:numPr>
          <w:ilvl w:val="0"/>
          <w:numId w:val="1007"/>
        </w:numPr>
      </w:pPr>
      <w:r>
        <w:t xml:space="preserve">Itemized receipt</w:t>
      </w:r>
    </w:p>
    <w:p>
      <w:pPr>
        <w:pStyle w:val="Compact"/>
        <w:numPr>
          <w:ilvl w:val="0"/>
          <w:numId w:val="1007"/>
        </w:numPr>
      </w:pPr>
      <w:r>
        <w:t xml:space="preserve">Proof of payment</w:t>
      </w:r>
    </w:p>
    <w:p>
      <w:pPr>
        <w:pStyle w:val="Compact"/>
        <w:numPr>
          <w:ilvl w:val="0"/>
          <w:numId w:val="1007"/>
        </w:numPr>
      </w:pPr>
      <w:r>
        <w:t xml:space="preserve">Copy of written pre approval</w:t>
      </w:r>
    </w:p>
    <w:p>
      <w:pPr>
        <w:pStyle w:val="Compact"/>
        <w:numPr>
          <w:ilvl w:val="0"/>
          <w:numId w:val="1007"/>
        </w:numPr>
      </w:pPr>
      <w:r>
        <w:t xml:space="preserve">Proof of participant contribution payment if required</w:t>
      </w:r>
    </w:p>
    <w:bookmarkEnd w:id="39"/>
    <w:bookmarkStart w:id="40" w:name="submission-deadline-1"/>
    <w:p>
      <w:pPr>
        <w:pStyle w:val="Heading3"/>
      </w:pPr>
      <w:r>
        <w:t xml:space="preserve">9.3 Submission deadline</w:t>
      </w:r>
    </w:p>
    <w:p>
      <w:pPr>
        <w:pStyle w:val="FirstParagraph"/>
      </w:pPr>
      <w:r>
        <w:t xml:space="preserve">Reimbursement requests must be submitted within 14 days of the expense date unless the board approves an exception.</w:t>
      </w:r>
    </w:p>
    <w:bookmarkEnd w:id="40"/>
    <w:bookmarkStart w:id="41" w:name="processing-timeline"/>
    <w:p>
      <w:pPr>
        <w:pStyle w:val="Heading3"/>
      </w:pPr>
      <w:r>
        <w:t xml:space="preserve">9.4 Processing timeline</w:t>
      </w:r>
    </w:p>
    <w:p>
      <w:pPr>
        <w:pStyle w:val="FirstParagraph"/>
      </w:pPr>
      <w:r>
        <w:t xml:space="preserve">Processing time is up to 14 business days after complete documentation is received.</w:t>
      </w:r>
    </w:p>
    <w:bookmarkEnd w:id="41"/>
    <w:bookmarkEnd w:id="42"/>
    <w:bookmarkStart w:id="43" w:name="violations-and-consequences"/>
    <w:p>
      <w:pPr>
        <w:pStyle w:val="Heading2"/>
      </w:pPr>
      <w:r>
        <w:t xml:space="preserve">10. Violations and Consequences</w:t>
      </w:r>
    </w:p>
    <w:p>
      <w:pPr>
        <w:pStyle w:val="FirstParagraph"/>
      </w:pPr>
      <w:r>
        <w:t xml:space="preserve">Violations include false information, missing required contributions, misuse of funds, failure to follow payment rules, or failure to donate prize money.</w:t>
      </w:r>
    </w:p>
    <w:p>
      <w:pPr>
        <w:pStyle w:val="BodyText"/>
      </w:pPr>
      <w:r>
        <w:t xml:space="preserve">Consequences may include:</w:t>
      </w:r>
    </w:p>
    <w:p>
      <w:pPr>
        <w:pStyle w:val="Compact"/>
        <w:numPr>
          <w:ilvl w:val="0"/>
          <w:numId w:val="1008"/>
        </w:numPr>
      </w:pPr>
      <w:r>
        <w:t xml:space="preserve">Suspension of future funding and reimbursements</w:t>
      </w:r>
    </w:p>
    <w:p>
      <w:pPr>
        <w:pStyle w:val="Compact"/>
        <w:numPr>
          <w:ilvl w:val="0"/>
          <w:numId w:val="1008"/>
        </w:numPr>
      </w:pPr>
      <w:r>
        <w:t xml:space="preserve">Requirement to repay sponsorship funds</w:t>
      </w:r>
    </w:p>
    <w:p>
      <w:pPr>
        <w:pStyle w:val="Compact"/>
        <w:numPr>
          <w:ilvl w:val="0"/>
          <w:numId w:val="1008"/>
        </w:numPr>
      </w:pPr>
      <w:r>
        <w:t xml:space="preserve">Membership discipline under the bylaws and Code of Conduct</w:t>
      </w:r>
    </w:p>
    <w:bookmarkEnd w:id="43"/>
    <w:bookmarkStart w:id="44" w:name="questions-and-appeals"/>
    <w:p>
      <w:pPr>
        <w:pStyle w:val="Heading2"/>
      </w:pPr>
      <w:r>
        <w:t xml:space="preserve">11. Questions and Appeals</w:t>
      </w:r>
    </w:p>
    <w:p>
      <w:pPr>
        <w:pStyle w:val="FirstParagraph"/>
      </w:pPr>
      <w:r>
        <w:t xml:space="preserve">Questions should be directed to the President or Treasurer. Appeals may be submitted in writing to the board for reconsideration.</w:t>
      </w:r>
    </w:p>
    <w:bookmarkEnd w:id="44"/>
    <w:bookmarkEnd w:id="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2026-06-12T22:05:24Z</dcterms:created>
  <dcterms:modified xsi:type="dcterms:W3CDTF">2026-06-12T22:05:24Z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